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01" w:rsidRPr="008E4C0B" w:rsidRDefault="002F0501" w:rsidP="002F0501">
      <w:pPr>
        <w:spacing w:line="264" w:lineRule="auto"/>
        <w:rPr>
          <w:rFonts w:ascii="Calibri Light" w:hAnsi="Calibri Light" w:cs="Calibri Light"/>
          <w:sz w:val="22"/>
          <w:szCs w:val="22"/>
          <w:lang w:val="it-IT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F0501" w:rsidRPr="008E4C0B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F0501" w:rsidRPr="008E4C0B" w:rsidTr="0022710B">
        <w:tc>
          <w:tcPr>
            <w:tcW w:w="1799" w:type="dxa"/>
            <w:gridSpan w:val="3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Slikarstvo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III</w:t>
            </w:r>
          </w:p>
        </w:tc>
      </w:tr>
      <w:tr w:rsidR="002F0501" w:rsidRPr="008E4C0B" w:rsidTr="0022710B">
        <w:tc>
          <w:tcPr>
            <w:tcW w:w="1799" w:type="dxa"/>
            <w:gridSpan w:val="3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Painting and Media III</w:t>
            </w:r>
          </w:p>
        </w:tc>
      </w:tr>
      <w:tr w:rsidR="002F0501" w:rsidRPr="008E4C0B" w:rsidTr="0022710B">
        <w:tc>
          <w:tcPr>
            <w:tcW w:w="3307" w:type="dxa"/>
            <w:gridSpan w:val="5"/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F0501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rPr>
          <w:trHeight w:val="103"/>
        </w:trPr>
        <w:tc>
          <w:tcPr>
            <w:tcW w:w="9690" w:type="dxa"/>
            <w:gridSpan w:val="18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2F0501" w:rsidRPr="008E4C0B" w:rsidTr="0022710B">
        <w:tc>
          <w:tcPr>
            <w:tcW w:w="5718" w:type="dxa"/>
            <w:gridSpan w:val="12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9690" w:type="dxa"/>
            <w:gridSpan w:val="18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F0501" w:rsidRPr="008E4C0B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36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</w:tr>
      <w:tr w:rsidR="002F0501" w:rsidRPr="008E4C0B" w:rsidTr="0022710B">
        <w:tc>
          <w:tcPr>
            <w:tcW w:w="9690" w:type="dxa"/>
            <w:gridSpan w:val="18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3307" w:type="dxa"/>
            <w:gridSpan w:val="5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doc.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Nemanja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Cvijanović</w:t>
            </w:r>
            <w:proofErr w:type="spellEnd"/>
          </w:p>
        </w:tc>
      </w:tr>
      <w:tr w:rsidR="002F0501" w:rsidRPr="008E4C0B" w:rsidTr="0022710B">
        <w:tc>
          <w:tcPr>
            <w:tcW w:w="9690" w:type="dxa"/>
            <w:gridSpan w:val="18"/>
          </w:tcPr>
          <w:p w:rsidR="002F0501" w:rsidRPr="008E4C0B" w:rsidRDefault="002F0501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1641" w:type="dxa"/>
            <w:gridSpan w:val="2"/>
            <w:vMerge w:val="restart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2F0501" w:rsidRPr="008E4C0B" w:rsidRDefault="002F0501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2F0501" w:rsidRPr="008E4C0B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2F0501" w:rsidRPr="008E4C0B" w:rsidRDefault="002F0501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2F0501" w:rsidRPr="008E4C0B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2F0501" w:rsidRPr="008E4C0B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vpis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2F0501" w:rsidRPr="008E4C0B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2F0501" w:rsidRPr="008E4C0B" w:rsidTr="0022710B">
        <w:trPr>
          <w:trHeight w:val="85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Slikarstvo</w:t>
            </w:r>
            <w:proofErr w:type="spell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mediji</w:t>
            </w:r>
            <w:proofErr w:type="spell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III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vizualnih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elementov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dekunstrukcijo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površini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dvodimenzionalnosti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tem pa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aktualizira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prenosa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njene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sintakse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nosilce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poliedrična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površina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prostorski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časovni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poseg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intermedijskih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  </w:t>
            </w:r>
          </w:p>
          <w:p w:rsidR="002F0501" w:rsidRPr="008E4C0B" w:rsidRDefault="002F0501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kontekstualne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moduse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znotraj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danih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tehnoloških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predpostavk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Konceptualizira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samorefleksira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svoja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stališča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vizualne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takem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pa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slikarske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vizualizacije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2F0501" w:rsidRPr="008E4C0B" w:rsidRDefault="002F0501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prenose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klasičnimi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sredstvi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interpretativnega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korelacije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izražanjem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zasnovo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podane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Within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Painting and Media III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>, the student engages in artistic activity, builds on his/her understanding of visual elements and the deconstruction of the image on the media surface, with the emphasis on two-dimensionality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;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while actualizing the possibilities of transferring its syntax to new media (the polyhedral surface - the spatial and temporal intervention of intermedia media).  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 develops conceptual and contextual modes within given technological assumptions. He/she conceptualizes and self-reflects his/her views on visual art while considering pictorial and new media approaches to the visualization of the image. 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>builds on conceptual transfers between classical and new media means of expression,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new possibilities of visual interpretative context,</w:t>
            </w:r>
          </w:p>
          <w:p w:rsidR="002F0501" w:rsidRPr="008E4C0B" w:rsidRDefault="002F0501" w:rsidP="002F0501">
            <w:pPr>
              <w:numPr>
                <w:ilvl w:val="0"/>
                <w:numId w:val="4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correlation between artistic expression and the conceptual design of the given content.</w:t>
            </w:r>
          </w:p>
        </w:tc>
      </w:tr>
    </w:tbl>
    <w:p w:rsidR="002F0501" w:rsidRPr="008E4C0B" w:rsidRDefault="002F0501" w:rsidP="002F0501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F0501" w:rsidRPr="008E4C0B" w:rsidTr="0022710B">
        <w:tc>
          <w:tcPr>
            <w:tcW w:w="9695" w:type="dxa"/>
            <w:gridSpan w:val="6"/>
          </w:tcPr>
          <w:p w:rsidR="002F0501" w:rsidRPr="008E4C0B" w:rsidRDefault="002F0501" w:rsidP="0022710B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F050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2F0501" w:rsidRPr="008E4C0B" w:rsidTr="0022710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F0501">
            <w:pPr>
              <w:pStyle w:val="Brezrazmikov"/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lang w:val="en-GB"/>
              </w:rPr>
            </w:pPr>
            <w:proofErr w:type="spellStart"/>
            <w:r w:rsidRPr="008E4C0B">
              <w:rPr>
                <w:rFonts w:ascii="Calibri Light" w:hAnsi="Calibri Light" w:cs="Calibri Light"/>
                <w:shd w:val="clear" w:color="auto" w:fill="FFFFFF"/>
                <w:lang w:val="en-GB"/>
              </w:rPr>
              <w:t>Quaranta</w:t>
            </w:r>
            <w:proofErr w:type="spellEnd"/>
            <w:r w:rsidRPr="008E4C0B">
              <w:rPr>
                <w:rFonts w:ascii="Calibri Light" w:hAnsi="Calibri Light" w:cs="Calibri Light"/>
                <w:shd w:val="clear" w:color="auto" w:fill="FFFFFF"/>
                <w:lang w:val="en-GB"/>
              </w:rPr>
              <w:t>, D. (2014). </w:t>
            </w:r>
            <w:r w:rsidRPr="008E4C0B">
              <w:rPr>
                <w:rFonts w:ascii="Calibri Light" w:hAnsi="Calibri Light" w:cs="Calibri Light"/>
                <w:i/>
                <w:iCs/>
                <w:shd w:val="clear" w:color="auto" w:fill="FFFFFF"/>
                <w:lang w:val="en-GB"/>
              </w:rPr>
              <w:t>Beyond New Media Art</w:t>
            </w:r>
            <w:r w:rsidRPr="008E4C0B">
              <w:rPr>
                <w:rFonts w:ascii="Calibri Light" w:hAnsi="Calibri Light" w:cs="Calibri Light"/>
                <w:shd w:val="clear" w:color="auto" w:fill="FFFFFF"/>
                <w:lang w:val="en-GB"/>
              </w:rPr>
              <w:t>. Lulu Press, Inc.</w:t>
            </w:r>
          </w:p>
          <w:p w:rsidR="002F0501" w:rsidRPr="008E4C0B" w:rsidRDefault="002F0501" w:rsidP="002F0501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Lynton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N.,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moderne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Cankarjeva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1994.</w:t>
            </w:r>
          </w:p>
          <w:p w:rsidR="002F0501" w:rsidRPr="008E4C0B" w:rsidRDefault="002F0501" w:rsidP="002F0501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Anne Ring Petersen,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Mikkel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Bogh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Hans Dam Christensen in Peter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Nörgaard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Larsen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.), </w:t>
            </w:r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Contemporary Painting in Context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Museum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Tusculanum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Press, University of Copenhagen, 2010</w:t>
            </w:r>
          </w:p>
          <w:p w:rsidR="002F0501" w:rsidRPr="008E4C0B" w:rsidRDefault="002F0501" w:rsidP="002F0501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Burkhard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Riemschneider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Grosenick, </w:t>
            </w:r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Art Now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Taschen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 2001</w:t>
            </w:r>
          </w:p>
          <w:p w:rsidR="002F0501" w:rsidRPr="008E4C0B" w:rsidRDefault="002F0501" w:rsidP="0022710B">
            <w:pPr>
              <w:pStyle w:val="Odstavekseznama"/>
              <w:spacing w:line="264" w:lineRule="auto"/>
              <w:ind w:left="0"/>
              <w:jc w:val="both"/>
              <w:rPr>
                <w:rFonts w:ascii="Calibri Light" w:hAnsi="Calibri Light" w:cs="Calibri Light"/>
              </w:rPr>
            </w:pPr>
          </w:p>
          <w:p w:rsidR="002F0501" w:rsidRPr="008E4C0B" w:rsidRDefault="002F0501" w:rsidP="0022710B">
            <w:pPr>
              <w:pStyle w:val="Odstavekseznama"/>
              <w:spacing w:line="264" w:lineRule="auto"/>
              <w:ind w:left="0"/>
              <w:jc w:val="both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lang w:val="it-IT"/>
              </w:rPr>
              <w:t>Dopolnilna</w:t>
            </w:r>
            <w:proofErr w:type="spellEnd"/>
            <w:r w:rsidRPr="008E4C0B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lang w:val="it-IT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lang w:val="it-IT"/>
              </w:rPr>
              <w:t xml:space="preserve">: 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priporočilo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visokošolskega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2F0501" w:rsidRPr="008E4C0B" w:rsidTr="0022710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2F0501" w:rsidRPr="008E4C0B" w:rsidTr="0022710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vizualnih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elementov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dekunstrukcijo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površini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aktualizira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sintakse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novomedijske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poliedrična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),  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moduse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znotraj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danih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predpostavk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Splošne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obvladovanje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izbranih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sredstev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razsežnosti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razvrščanja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opredelitev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lastnosti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občutek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korelacijo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teorijami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Predmetno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specifične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izvedbe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lastnega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pripomočkov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sredstev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formalne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oblikotvornih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Objectives: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builds on the understanding of visual elements and deconstruction of the image on the media surface, 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actualizes the possibilities of transferring the syntax of the image to new media (polyhedral surface),  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conceptual and contextual modes within given technological assumptions.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General competences: 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438" w:hanging="27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mastery of selected means of expression and their dimensions,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438" w:hanging="27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ability to classify different media and define their characteristics,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438" w:hanging="27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sense of correlation between the artwork and the theories of the concepts of artistic creations.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Subject-specific competences: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use techniques and technologies,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perform their own work of art using new media tools or means,</w:t>
            </w:r>
          </w:p>
          <w:p w:rsidR="002F0501" w:rsidRPr="008E4C0B" w:rsidRDefault="002F0501" w:rsidP="002F0501">
            <w:pPr>
              <w:numPr>
                <w:ilvl w:val="0"/>
                <w:numId w:val="5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ability to formally analyse a visual image according to formative principles.</w:t>
            </w:r>
          </w:p>
        </w:tc>
      </w:tr>
      <w:tr w:rsidR="002F0501" w:rsidRPr="008E4C0B" w:rsidTr="0022710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2F0501" w:rsidRPr="008E4C0B" w:rsidTr="0022710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odnosnost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ploskve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površine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odnosu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prostorom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svetlobo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realizacijo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zmožen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/-a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korelaciji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izraznimi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sredstvi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izbrane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klasičnih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Refleksija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občutek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prepoznavanje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vrednotenje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del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oziroma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naravnanost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fleksibilnemu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sprejemanju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understands the relationship of surface and area in relation to space and light,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characteristics of media and new media.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able to select appropriate techniques and technologies for the realisation of an artwork or artefact,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able to create a work study in correlation with the means of expression,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familiar with the selected techniques and technologies of classical and new media.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2F0501" w:rsidRPr="00A20D60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 sense of recognition and critical evaluation of contemporary art works or phenomena.</w:t>
            </w:r>
          </w:p>
          <w:p w:rsidR="002F0501" w:rsidRPr="008E4C0B" w:rsidRDefault="002F0501" w:rsidP="002F0501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 attitude towards a flexible acceptance of artistic processes.</w:t>
            </w:r>
          </w:p>
        </w:tc>
      </w:tr>
      <w:tr w:rsidR="002F0501" w:rsidRPr="008E4C0B" w:rsidTr="0022710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F0501" w:rsidRPr="008E4C0B" w:rsidTr="0022710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2F0501" w:rsidRPr="008E4C0B" w:rsidTr="0022710B">
        <w:trPr>
          <w:trHeight w:val="1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Ponazoritev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udejstvovanj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diskusije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korekturami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konzultacijami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načinov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zapisov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Demonstration of artistic activities, lectures, discussions, studio work with proofreading and consultation, independent student work (studies, different modes of media and new media writing, etc.).</w:t>
            </w:r>
          </w:p>
        </w:tc>
      </w:tr>
      <w:tr w:rsidR="002F0501" w:rsidRPr="008E4C0B" w:rsidTr="0022710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2F0501" w:rsidRPr="008E4C0B" w:rsidTr="0022710B">
        <w:trPr>
          <w:trHeight w:val="68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udejstvovanja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Formalna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študentovega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40%</w:t>
            </w: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8E4C0B" w:rsidRDefault="002F0501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60%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Studio work (painting, artistic activities, etc./analysis of the activity of the artistic process of work)</w:t>
            </w:r>
          </w:p>
          <w:p w:rsidR="002F0501" w:rsidRPr="00A20D60" w:rsidRDefault="002F0501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Exam / Formal analysis and interpretation of the student's artistic artefact and explanation of the processes involved in the of the work process.</w:t>
            </w:r>
          </w:p>
        </w:tc>
      </w:tr>
      <w:tr w:rsidR="002F0501" w:rsidRPr="008E4C0B" w:rsidTr="0022710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2F0501" w:rsidRPr="008E4C0B" w:rsidRDefault="002F0501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2F0501" w:rsidRPr="008E4C0B" w:rsidTr="0022710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2012. Primo premio acquisto MACRO AMICI (per la collezione MACRO), Museo di Arte Contemporanea MACRO di Roma, Roma, Italia;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2013. Terzo Premio acquisto T-HT (per la collezione MSU), Museo di Arte Contemporanea MSU, Zagabria, Croazia;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2012. Manifesta 9 biennale internazionale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 arte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contemporanea,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Genk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Belgio, a cura del teorico e storico dell'arte messicano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Cuauhtémoc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Medina;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2012. Do Not Fuck With Social Democracy!,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ŠKUC, Ljubljana,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Slovenija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Personale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di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Tevž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Logar;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2015. Not so White Cube, MGML, Ljubljana, Slovenia, 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di Alenka Gregorič;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2017.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Their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Eyes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… MMSU Rijeka, Croazia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Kunsthalle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Eurocenter Lana, Italia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Dům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umění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Ústí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Labem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Repubblica Ceca, mostra itinerante a cura di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Michal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Koleček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:rsidR="002F0501" w:rsidRPr="008E4C0B" w:rsidRDefault="002F0501" w:rsidP="002F0501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2017. Symptoms of Society, Guangdong Museum of Art, Guangzhou,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di Alenka Gregorič</w:t>
            </w:r>
          </w:p>
        </w:tc>
      </w:tr>
    </w:tbl>
    <w:p w:rsidR="002F0501" w:rsidRDefault="002F0501" w:rsidP="002F0501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C71C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F2A654D"/>
    <w:multiLevelType w:val="hybridMultilevel"/>
    <w:tmpl w:val="ACF85098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82135"/>
    <w:multiLevelType w:val="hybridMultilevel"/>
    <w:tmpl w:val="281C3CBE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F29F9"/>
    <w:multiLevelType w:val="hybridMultilevel"/>
    <w:tmpl w:val="FFFFFFFF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32C90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01"/>
    <w:rsid w:val="0005244A"/>
    <w:rsid w:val="000A3FF5"/>
    <w:rsid w:val="00101D40"/>
    <w:rsid w:val="00115671"/>
    <w:rsid w:val="001E1204"/>
    <w:rsid w:val="00206060"/>
    <w:rsid w:val="00235D36"/>
    <w:rsid w:val="002F0501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4B7EA-6FB9-4617-9461-4F4655DF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F050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2F050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2F0501"/>
    <w:pPr>
      <w:ind w:left="708"/>
      <w:jc w:val="both"/>
    </w:pPr>
    <w:rPr>
      <w:rFonts w:ascii="Times New Roman" w:hAnsi="Times New Roman"/>
    </w:rPr>
  </w:style>
  <w:style w:type="paragraph" w:styleId="Odstavekseznama">
    <w:name w:val="List Paragraph"/>
    <w:basedOn w:val="Navaden"/>
    <w:uiPriority w:val="34"/>
    <w:qFormat/>
    <w:rsid w:val="002F0501"/>
    <w:pPr>
      <w:ind w:left="720"/>
      <w:contextualSpacing/>
    </w:pPr>
    <w:rPr>
      <w:sz w:val="22"/>
      <w:szCs w:val="22"/>
      <w:lang w:eastAsia="en-US"/>
    </w:rPr>
  </w:style>
  <w:style w:type="paragraph" w:styleId="Brezrazmikov">
    <w:name w:val="No Spacing"/>
    <w:uiPriority w:val="1"/>
    <w:qFormat/>
    <w:rsid w:val="002F0501"/>
    <w:pPr>
      <w:spacing w:after="0" w:line="240" w:lineRule="auto"/>
    </w:pPr>
    <w:rPr>
      <w:rFonts w:ascii="Calibri" w:eastAsia="Times New Roman" w:hAnsi="Calibri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6A6C0DF-4D8E-4C66-8B1D-25F95FD20C29}"/>
</file>

<file path=customXml/itemProps2.xml><?xml version="1.0" encoding="utf-8"?>
<ds:datastoreItem xmlns:ds="http://schemas.openxmlformats.org/officeDocument/2006/customXml" ds:itemID="{FD16E423-70EE-4BDC-B88C-DD86D28B4568}"/>
</file>

<file path=customXml/itemProps3.xml><?xml version="1.0" encoding="utf-8"?>
<ds:datastoreItem xmlns:ds="http://schemas.openxmlformats.org/officeDocument/2006/customXml" ds:itemID="{6DAE2E32-5686-4E16-9B2C-5F81274D3D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2023-10-18T08:59:00Z</dcterms:created>
  <dcterms:modified xsi:type="dcterms:W3CDTF">2023-10-18T08:59:00Z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16450000</vt:r8>
  </property>
</Properties>
</file>